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60" w:rsidRDefault="00A24E60" w:rsidP="00A24E60">
      <w:pPr>
        <w:jc w:val="center"/>
        <w:rPr>
          <w:rFonts w:ascii="Times New Roman" w:hAnsi="Times New Roman" w:cs="Times New Roman"/>
          <w:sz w:val="36"/>
          <w:szCs w:val="36"/>
        </w:rPr>
      </w:pPr>
      <w:r>
        <w:rPr>
          <w:rFonts w:ascii="Times New Roman" w:hAnsi="Times New Roman" w:cs="Times New Roman"/>
          <w:sz w:val="36"/>
          <w:szCs w:val="36"/>
        </w:rPr>
        <w:t>EXECUTIVE SUMMARY</w:t>
      </w:r>
    </w:p>
    <w:p w:rsidR="00A24E60" w:rsidRDefault="00F70208" w:rsidP="00A24E60">
      <w:pPr>
        <w:jc w:val="center"/>
        <w:rPr>
          <w:rFonts w:ascii="Times New Roman" w:hAnsi="Times New Roman" w:cs="Times New Roman"/>
          <w:sz w:val="36"/>
          <w:szCs w:val="36"/>
        </w:rPr>
      </w:pPr>
      <w:r>
        <w:rPr>
          <w:rFonts w:ascii="Times New Roman" w:hAnsi="Times New Roman" w:cs="Times New Roman"/>
          <w:sz w:val="36"/>
          <w:szCs w:val="36"/>
        </w:rPr>
        <w:t>CHANGE IN LAND-</w:t>
      </w:r>
      <w:r w:rsidR="00A24E60">
        <w:rPr>
          <w:rFonts w:ascii="Times New Roman" w:hAnsi="Times New Roman" w:cs="Times New Roman"/>
          <w:sz w:val="36"/>
          <w:szCs w:val="36"/>
        </w:rPr>
        <w:t>USE</w:t>
      </w:r>
    </w:p>
    <w:p w:rsidR="00A24E60" w:rsidRDefault="00A24E60" w:rsidP="00A24E60">
      <w:pPr>
        <w:rPr>
          <w:rFonts w:ascii="Times New Roman" w:hAnsi="Times New Roman" w:cs="Times New Roman"/>
          <w:sz w:val="24"/>
          <w:szCs w:val="24"/>
        </w:rPr>
      </w:pPr>
      <w:r>
        <w:rPr>
          <w:rFonts w:ascii="Times New Roman" w:hAnsi="Times New Roman" w:cs="Times New Roman"/>
          <w:sz w:val="24"/>
          <w:szCs w:val="24"/>
        </w:rPr>
        <w:t>The Resource Management Act (1991) governs the use of New Zealand’s air, water, ecosystems and built environment.  It is also, the key legi</w:t>
      </w:r>
      <w:r w:rsidR="00516D2F">
        <w:rPr>
          <w:rFonts w:ascii="Times New Roman" w:hAnsi="Times New Roman" w:cs="Times New Roman"/>
          <w:sz w:val="24"/>
          <w:szCs w:val="24"/>
        </w:rPr>
        <w:t>s</w:t>
      </w:r>
      <w:r>
        <w:rPr>
          <w:rFonts w:ascii="Times New Roman" w:hAnsi="Times New Roman" w:cs="Times New Roman"/>
          <w:sz w:val="24"/>
          <w:szCs w:val="24"/>
        </w:rPr>
        <w:t>lation for managing the effects of land use on biodiversity on private land.</w:t>
      </w:r>
    </w:p>
    <w:p w:rsidR="00A24E60" w:rsidRDefault="00A24E60" w:rsidP="00A24E60">
      <w:pPr>
        <w:rPr>
          <w:rFonts w:ascii="Times New Roman" w:hAnsi="Times New Roman" w:cs="Times New Roman"/>
          <w:sz w:val="24"/>
          <w:szCs w:val="24"/>
        </w:rPr>
      </w:pPr>
      <w:r>
        <w:rPr>
          <w:rFonts w:ascii="Times New Roman" w:hAnsi="Times New Roman" w:cs="Times New Roman"/>
          <w:sz w:val="24"/>
          <w:szCs w:val="24"/>
        </w:rPr>
        <w:t>Management of biological diversity in New Zealand was ratified under the in</w:t>
      </w:r>
      <w:r w:rsidR="009C6A94">
        <w:rPr>
          <w:rFonts w:ascii="Times New Roman" w:hAnsi="Times New Roman" w:cs="Times New Roman"/>
          <w:sz w:val="24"/>
          <w:szCs w:val="24"/>
        </w:rPr>
        <w:t>t</w:t>
      </w:r>
      <w:r>
        <w:rPr>
          <w:rFonts w:ascii="Times New Roman" w:hAnsi="Times New Roman" w:cs="Times New Roman"/>
          <w:sz w:val="24"/>
          <w:szCs w:val="24"/>
        </w:rPr>
        <w:t>ernational Convention of Biological Diversity (1993).  A requir</w:t>
      </w:r>
      <w:r w:rsidR="00516D2F">
        <w:rPr>
          <w:rFonts w:ascii="Times New Roman" w:hAnsi="Times New Roman" w:cs="Times New Roman"/>
          <w:sz w:val="24"/>
          <w:szCs w:val="24"/>
        </w:rPr>
        <w:t>e</w:t>
      </w:r>
      <w:r>
        <w:rPr>
          <w:rFonts w:ascii="Times New Roman" w:hAnsi="Times New Roman" w:cs="Times New Roman"/>
          <w:sz w:val="24"/>
          <w:szCs w:val="24"/>
        </w:rPr>
        <w:t xml:space="preserve">ment of the Convention is the implementation of national strategies and goals to protect and enhance biodiversity.  The New </w:t>
      </w:r>
      <w:r w:rsidR="007C58C8">
        <w:rPr>
          <w:rFonts w:ascii="Times New Roman" w:hAnsi="Times New Roman" w:cs="Times New Roman"/>
          <w:sz w:val="24"/>
          <w:szCs w:val="24"/>
        </w:rPr>
        <w:t>Zealand Government response was</w:t>
      </w:r>
      <w:r>
        <w:rPr>
          <w:rFonts w:ascii="Times New Roman" w:hAnsi="Times New Roman" w:cs="Times New Roman"/>
          <w:sz w:val="24"/>
          <w:szCs w:val="24"/>
        </w:rPr>
        <w:t xml:space="preserve"> the New Zealand Biodiversity Strategy (2000).  </w:t>
      </w:r>
    </w:p>
    <w:p w:rsidR="00A24E60" w:rsidRDefault="00A24E60" w:rsidP="00A24E60">
      <w:pPr>
        <w:rPr>
          <w:rFonts w:ascii="Times New Roman" w:hAnsi="Times New Roman" w:cs="Times New Roman"/>
          <w:sz w:val="24"/>
          <w:szCs w:val="24"/>
        </w:rPr>
      </w:pPr>
      <w:r>
        <w:rPr>
          <w:rFonts w:ascii="Times New Roman" w:hAnsi="Times New Roman" w:cs="Times New Roman"/>
          <w:sz w:val="24"/>
          <w:szCs w:val="24"/>
        </w:rPr>
        <w:t>Management of biodiversity is difficult due to incomplete data on which to establish trends and predict future outcomes.  However, it is widely accepted that biodiversi</w:t>
      </w:r>
      <w:r w:rsidR="00D96AB0">
        <w:rPr>
          <w:rFonts w:ascii="Times New Roman" w:hAnsi="Times New Roman" w:cs="Times New Roman"/>
          <w:sz w:val="24"/>
          <w:szCs w:val="24"/>
        </w:rPr>
        <w:t>ty in</w:t>
      </w:r>
      <w:r w:rsidR="00F70208">
        <w:rPr>
          <w:rFonts w:ascii="Times New Roman" w:hAnsi="Times New Roman" w:cs="Times New Roman"/>
          <w:sz w:val="24"/>
          <w:szCs w:val="24"/>
        </w:rPr>
        <w:t xml:space="preserve"> New Zealand </w:t>
      </w:r>
      <w:r>
        <w:rPr>
          <w:rFonts w:ascii="Times New Roman" w:hAnsi="Times New Roman" w:cs="Times New Roman"/>
          <w:sz w:val="24"/>
          <w:szCs w:val="24"/>
        </w:rPr>
        <w:t>is in serious decline.</w:t>
      </w:r>
    </w:p>
    <w:p w:rsidR="00A24E60" w:rsidRDefault="00A24E60" w:rsidP="00A24E60">
      <w:pPr>
        <w:rPr>
          <w:rFonts w:ascii="Times New Roman" w:hAnsi="Times New Roman" w:cs="Times New Roman"/>
          <w:sz w:val="24"/>
          <w:szCs w:val="24"/>
        </w:rPr>
      </w:pPr>
      <w:r>
        <w:rPr>
          <w:rFonts w:ascii="Times New Roman" w:hAnsi="Times New Roman" w:cs="Times New Roman"/>
          <w:sz w:val="24"/>
          <w:szCs w:val="24"/>
        </w:rPr>
        <w:t>Control of land use activities is vested in local authorities, manifested in land zoning and guided by rules that are specific to the land zoning.  Local authorities also have a legislative obligation to manage native biodiversity and implement pest management strategies.</w:t>
      </w:r>
    </w:p>
    <w:p w:rsidR="009C6A94" w:rsidRDefault="00A24E60" w:rsidP="00A24E60">
      <w:pPr>
        <w:rPr>
          <w:rFonts w:ascii="Times New Roman" w:hAnsi="Times New Roman" w:cs="Times New Roman"/>
          <w:sz w:val="24"/>
          <w:szCs w:val="24"/>
        </w:rPr>
      </w:pPr>
      <w:r>
        <w:rPr>
          <w:rFonts w:ascii="Times New Roman" w:hAnsi="Times New Roman" w:cs="Times New Roman"/>
          <w:sz w:val="24"/>
          <w:szCs w:val="24"/>
        </w:rPr>
        <w:t>In an international context, New Zealand has the highest proportion (out of 33 OECD countries) of land protected for conservation purposes (33%).  More than 90% of New Zealand’s “mountainous” environment has legal protection.  This, along with other environments considered to have significant cultural and biological value form part of the public land estate, managed by the Department of Conservation.</w:t>
      </w:r>
    </w:p>
    <w:p w:rsidR="00A24E60" w:rsidRDefault="009C6A94" w:rsidP="00A24E60">
      <w:pPr>
        <w:rPr>
          <w:rFonts w:ascii="Times New Roman" w:hAnsi="Times New Roman" w:cs="Times New Roman"/>
          <w:sz w:val="24"/>
          <w:szCs w:val="24"/>
        </w:rPr>
      </w:pPr>
      <w:r>
        <w:rPr>
          <w:rFonts w:ascii="Times New Roman" w:hAnsi="Times New Roman" w:cs="Times New Roman"/>
          <w:sz w:val="24"/>
          <w:szCs w:val="24"/>
        </w:rPr>
        <w:t>New Zealand’s high conservation status allows New Zealand to promote itself globally as “clean and green”.</w:t>
      </w:r>
    </w:p>
    <w:p w:rsidR="00A24E60" w:rsidRDefault="00A24E60" w:rsidP="00A24E60">
      <w:pPr>
        <w:rPr>
          <w:rFonts w:ascii="Times New Roman" w:hAnsi="Times New Roman" w:cs="Times New Roman"/>
          <w:sz w:val="24"/>
          <w:szCs w:val="24"/>
        </w:rPr>
      </w:pPr>
      <w:r>
        <w:rPr>
          <w:rFonts w:ascii="Times New Roman" w:hAnsi="Times New Roman" w:cs="Times New Roman"/>
          <w:sz w:val="24"/>
          <w:szCs w:val="24"/>
        </w:rPr>
        <w:t>Biodiversity is predominantly threatened in lowland areas due to greater economic value of the land, higher productive capacity, and multiple land use options.</w:t>
      </w:r>
    </w:p>
    <w:p w:rsidR="00A24E60" w:rsidRDefault="00A24E60" w:rsidP="00A24E60">
      <w:pPr>
        <w:rPr>
          <w:rFonts w:ascii="Times New Roman" w:hAnsi="Times New Roman" w:cs="Times New Roman"/>
          <w:sz w:val="24"/>
          <w:szCs w:val="24"/>
        </w:rPr>
      </w:pPr>
      <w:r>
        <w:rPr>
          <w:rFonts w:ascii="Times New Roman" w:hAnsi="Times New Roman" w:cs="Times New Roman"/>
          <w:sz w:val="24"/>
          <w:szCs w:val="24"/>
        </w:rPr>
        <w:t>In “Causes of land-use and land-cover change” (</w:t>
      </w:r>
      <w:proofErr w:type="spellStart"/>
      <w:r>
        <w:rPr>
          <w:rFonts w:ascii="Times New Roman" w:hAnsi="Times New Roman" w:cs="Times New Roman"/>
          <w:sz w:val="24"/>
          <w:szCs w:val="24"/>
        </w:rPr>
        <w:t>Lambin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Geist</w:t>
      </w:r>
      <w:proofErr w:type="spellEnd"/>
      <w:r>
        <w:rPr>
          <w:rFonts w:ascii="Times New Roman" w:hAnsi="Times New Roman" w:cs="Times New Roman"/>
          <w:sz w:val="24"/>
          <w:szCs w:val="24"/>
        </w:rPr>
        <w:t>, 2007) the connection between the decision making process with respect to land-use, and the decision making context</w:t>
      </w:r>
      <w:r w:rsidR="00F7020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environmental, social, economic and political)</w:t>
      </w:r>
      <w:r w:rsidR="00516D2F">
        <w:rPr>
          <w:rFonts w:ascii="Times New Roman" w:hAnsi="Times New Roman" w:cs="Times New Roman"/>
          <w:sz w:val="24"/>
          <w:szCs w:val="24"/>
        </w:rPr>
        <w:t xml:space="preserve"> are explored.  Land-use change</w:t>
      </w:r>
      <w:r>
        <w:rPr>
          <w:rFonts w:ascii="Times New Roman" w:hAnsi="Times New Roman" w:cs="Times New Roman"/>
          <w:sz w:val="24"/>
          <w:szCs w:val="24"/>
        </w:rPr>
        <w:t xml:space="preserve"> is always a complex mix and expression of factors that include, time, climate, soils, terrain and broader external influences.  The land-use decision is a process of factors that alter the decision-making environment gradually over time, or happen as a single event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flash flood, drought).  Major causes of land-use change include: climatic variability, economic and technological factors, changing demographics, the legal environment and access to land, labour, capital, technology and information, cultural influence and globalisation.  The decision-making environment requires managerial trade-offs between different (and often competing) land use opportunities.  Despite the diverse nature of the cause of land-use change, they conclude, that pattern</w:t>
      </w:r>
      <w:r w:rsidR="00516D2F">
        <w:rPr>
          <w:rFonts w:ascii="Times New Roman" w:hAnsi="Times New Roman" w:cs="Times New Roman"/>
          <w:sz w:val="24"/>
          <w:szCs w:val="24"/>
        </w:rPr>
        <w:t>s exist, recurrent interactions</w:t>
      </w:r>
      <w:r>
        <w:rPr>
          <w:rFonts w:ascii="Times New Roman" w:hAnsi="Times New Roman" w:cs="Times New Roman"/>
          <w:sz w:val="24"/>
          <w:szCs w:val="24"/>
        </w:rPr>
        <w:t xml:space="preserve"> that may allow useful comparisons for planning for land-use change.</w:t>
      </w:r>
    </w:p>
    <w:p w:rsidR="00A24E60" w:rsidRDefault="00A24E60" w:rsidP="00A24E60">
      <w:pPr>
        <w:rPr>
          <w:rFonts w:ascii="Times New Roman" w:hAnsi="Times New Roman" w:cs="Times New Roman"/>
          <w:sz w:val="24"/>
          <w:szCs w:val="24"/>
        </w:rPr>
      </w:pPr>
      <w:r>
        <w:rPr>
          <w:rFonts w:ascii="Times New Roman" w:hAnsi="Times New Roman" w:cs="Times New Roman"/>
          <w:sz w:val="24"/>
          <w:szCs w:val="24"/>
        </w:rPr>
        <w:lastRenderedPageBreak/>
        <w:t>Planning for land-use change is a requir</w:t>
      </w:r>
      <w:r w:rsidR="00516D2F">
        <w:rPr>
          <w:rFonts w:ascii="Times New Roman" w:hAnsi="Times New Roman" w:cs="Times New Roman"/>
          <w:sz w:val="24"/>
          <w:szCs w:val="24"/>
        </w:rPr>
        <w:t>e</w:t>
      </w:r>
      <w:r>
        <w:rPr>
          <w:rFonts w:ascii="Times New Roman" w:hAnsi="Times New Roman" w:cs="Times New Roman"/>
          <w:sz w:val="24"/>
          <w:szCs w:val="24"/>
        </w:rPr>
        <w:t>ment of local and regional authorities to successfully manage the land resource.  In “Id</w:t>
      </w:r>
      <w:r w:rsidR="00516D2F">
        <w:rPr>
          <w:rFonts w:ascii="Times New Roman" w:hAnsi="Times New Roman" w:cs="Times New Roman"/>
          <w:sz w:val="24"/>
          <w:szCs w:val="24"/>
        </w:rPr>
        <w:t>entification and Analysis of Dri</w:t>
      </w:r>
      <w:r>
        <w:rPr>
          <w:rFonts w:ascii="Times New Roman" w:hAnsi="Times New Roman" w:cs="Times New Roman"/>
          <w:sz w:val="24"/>
          <w:szCs w:val="24"/>
        </w:rPr>
        <w:t>vers of Significant Land Use Change” (Environment Waikato), analysis of “types of land-use change”, and the expected effect and scale of change on resources is described.  Interest from local land own</w:t>
      </w:r>
      <w:r w:rsidR="00516D2F">
        <w:rPr>
          <w:rFonts w:ascii="Times New Roman" w:hAnsi="Times New Roman" w:cs="Times New Roman"/>
          <w:sz w:val="24"/>
          <w:szCs w:val="24"/>
        </w:rPr>
        <w:t>ers in land-use intensification</w:t>
      </w:r>
      <w:r>
        <w:rPr>
          <w:rFonts w:ascii="Times New Roman" w:hAnsi="Times New Roman" w:cs="Times New Roman"/>
          <w:sz w:val="24"/>
          <w:szCs w:val="24"/>
        </w:rPr>
        <w:t xml:space="preserve"> and international interest in the effects of land-use change on the enviro</w:t>
      </w:r>
      <w:r w:rsidR="00516D2F">
        <w:rPr>
          <w:rFonts w:ascii="Times New Roman" w:hAnsi="Times New Roman" w:cs="Times New Roman"/>
          <w:sz w:val="24"/>
          <w:szCs w:val="24"/>
        </w:rPr>
        <w:t>nment, were identified as areas</w:t>
      </w:r>
      <w:r>
        <w:rPr>
          <w:rFonts w:ascii="Times New Roman" w:hAnsi="Times New Roman" w:cs="Times New Roman"/>
          <w:sz w:val="24"/>
          <w:szCs w:val="24"/>
        </w:rPr>
        <w:t xml:space="preserve"> requiring further research.  The article discusses the “drivers for land-use change” being a result of a decision; a statement of personal motivation, based on values and circumstance (opportunity).  </w:t>
      </w:r>
      <w:r w:rsidR="00516D2F">
        <w:rPr>
          <w:rFonts w:ascii="Times New Roman" w:hAnsi="Times New Roman" w:cs="Times New Roman"/>
          <w:sz w:val="24"/>
          <w:szCs w:val="24"/>
        </w:rPr>
        <w:t>The context for land-use change</w:t>
      </w:r>
      <w:r>
        <w:rPr>
          <w:rFonts w:ascii="Times New Roman" w:hAnsi="Times New Roman" w:cs="Times New Roman"/>
          <w:sz w:val="24"/>
          <w:szCs w:val="24"/>
        </w:rPr>
        <w:t xml:space="preserve"> is a mix of global, national, regional and personal influences.  Economic drivers include internation</w:t>
      </w:r>
      <w:r w:rsidR="00516D2F">
        <w:rPr>
          <w:rFonts w:ascii="Times New Roman" w:hAnsi="Times New Roman" w:cs="Times New Roman"/>
          <w:sz w:val="24"/>
          <w:szCs w:val="24"/>
        </w:rPr>
        <w:t>al and NZ commodit</w:t>
      </w:r>
      <w:r>
        <w:rPr>
          <w:rFonts w:ascii="Times New Roman" w:hAnsi="Times New Roman" w:cs="Times New Roman"/>
          <w:sz w:val="24"/>
          <w:szCs w:val="24"/>
        </w:rPr>
        <w:t>y prices, and market demand.  Legal drivers include Government, regional and local authority policy.  Social drivers include individual and community preferences.  Technology, land value and climate change are also all significant drivers for change.  The rate and scale of change is driven by the economic environment – economics determine viability.  However, personal drivers have the strongest influence.  As land is a finite resource, pressure for land-use change driven by demographic and economic factors will continue to require identification and policy surrounding land most vulnerable to change.</w:t>
      </w:r>
    </w:p>
    <w:p w:rsidR="007C58C8" w:rsidRDefault="007C58C8" w:rsidP="00A24E60">
      <w:pPr>
        <w:rPr>
          <w:rFonts w:ascii="Times New Roman" w:hAnsi="Times New Roman" w:cs="Times New Roman"/>
          <w:sz w:val="24"/>
          <w:szCs w:val="24"/>
        </w:rPr>
      </w:pPr>
      <w:r>
        <w:rPr>
          <w:rFonts w:ascii="Times New Roman" w:hAnsi="Times New Roman" w:cs="Times New Roman"/>
          <w:sz w:val="24"/>
          <w:szCs w:val="24"/>
        </w:rPr>
        <w:t>In “Land: Competition for future use”, the authors state that New Zealand is ranked 3</w:t>
      </w:r>
      <w:r w:rsidRPr="007C58C8">
        <w:rPr>
          <w:rFonts w:ascii="Times New Roman" w:hAnsi="Times New Roman" w:cs="Times New Roman"/>
          <w:sz w:val="24"/>
          <w:szCs w:val="24"/>
          <w:vertAlign w:val="superscript"/>
        </w:rPr>
        <w:t>rd</w:t>
      </w:r>
      <w:r>
        <w:rPr>
          <w:rFonts w:ascii="Times New Roman" w:hAnsi="Times New Roman" w:cs="Times New Roman"/>
          <w:sz w:val="24"/>
          <w:szCs w:val="24"/>
        </w:rPr>
        <w:t xml:space="preserve"> out of 27 OECD countries based on land availability per capita.  As the global population increases, and land availability decreased, the opportunity for New Zealand as an exporter of primary goods increases.  Food demand drives agricultural intensification – causing increased output and increased pressure on environmental resources and landscapes.  There is currently, no nationally agreed framework for dealing with land (unlike water-use and water quality).  Urb</w:t>
      </w:r>
      <w:r w:rsidR="00516D2F">
        <w:rPr>
          <w:rFonts w:ascii="Times New Roman" w:hAnsi="Times New Roman" w:cs="Times New Roman"/>
          <w:sz w:val="24"/>
          <w:szCs w:val="24"/>
        </w:rPr>
        <w:t>an encroachment of</w:t>
      </w:r>
      <w:r>
        <w:rPr>
          <w:rFonts w:ascii="Times New Roman" w:hAnsi="Times New Roman" w:cs="Times New Roman"/>
          <w:sz w:val="24"/>
          <w:szCs w:val="24"/>
        </w:rPr>
        <w:t xml:space="preserve"> high quality agricultural land</w:t>
      </w:r>
      <w:r w:rsidR="00516D2F">
        <w:rPr>
          <w:rFonts w:ascii="Times New Roman" w:hAnsi="Times New Roman" w:cs="Times New Roman"/>
          <w:sz w:val="24"/>
          <w:szCs w:val="24"/>
        </w:rPr>
        <w:t xml:space="preserve"> needs an</w:t>
      </w:r>
      <w:r>
        <w:rPr>
          <w:rFonts w:ascii="Times New Roman" w:hAnsi="Times New Roman" w:cs="Times New Roman"/>
          <w:sz w:val="24"/>
          <w:szCs w:val="24"/>
        </w:rPr>
        <w:t xml:space="preserve"> integrated and national response.  In the past 20 years agriculture and forest</w:t>
      </w:r>
      <w:r w:rsidR="00516D2F">
        <w:rPr>
          <w:rFonts w:ascii="Times New Roman" w:hAnsi="Times New Roman" w:cs="Times New Roman"/>
          <w:sz w:val="24"/>
          <w:szCs w:val="24"/>
        </w:rPr>
        <w:t>r</w:t>
      </w:r>
      <w:r>
        <w:rPr>
          <w:rFonts w:ascii="Times New Roman" w:hAnsi="Times New Roman" w:cs="Times New Roman"/>
          <w:sz w:val="24"/>
          <w:szCs w:val="24"/>
        </w:rPr>
        <w:t>y land has contracted from 4.8 hectares per capita, to 2.8 hectares.  Urban expansion has been at the rate of 4-5% per year.  The writers of the article determine that policy development for land-use, due to the finite nature of the resource should be guided by scientif</w:t>
      </w:r>
      <w:r w:rsidR="00516D2F">
        <w:rPr>
          <w:rFonts w:ascii="Times New Roman" w:hAnsi="Times New Roman" w:cs="Times New Roman"/>
          <w:sz w:val="24"/>
          <w:szCs w:val="24"/>
        </w:rPr>
        <w:t>i</w:t>
      </w:r>
      <w:r>
        <w:rPr>
          <w:rFonts w:ascii="Times New Roman" w:hAnsi="Times New Roman" w:cs="Times New Roman"/>
          <w:sz w:val="24"/>
          <w:szCs w:val="24"/>
        </w:rPr>
        <w:t>c research.</w:t>
      </w:r>
    </w:p>
    <w:p w:rsidR="007C58C8" w:rsidRDefault="007C58C8" w:rsidP="00A24E60">
      <w:pPr>
        <w:rPr>
          <w:rFonts w:ascii="Times New Roman" w:hAnsi="Times New Roman" w:cs="Times New Roman"/>
          <w:sz w:val="24"/>
          <w:szCs w:val="24"/>
        </w:rPr>
      </w:pPr>
      <w:r>
        <w:rPr>
          <w:rFonts w:ascii="Times New Roman" w:hAnsi="Times New Roman" w:cs="Times New Roman"/>
          <w:sz w:val="24"/>
          <w:szCs w:val="24"/>
        </w:rPr>
        <w:t xml:space="preserve">While there are any number of examples of land-use change, Tenure Review of the iconic High Country in particular captures the extremely complex nature of land, tenure, connection, environment, identity, economics, private land-use rights, </w:t>
      </w:r>
      <w:r w:rsidR="00F70208">
        <w:rPr>
          <w:rFonts w:ascii="Times New Roman" w:hAnsi="Times New Roman" w:cs="Times New Roman"/>
          <w:sz w:val="24"/>
          <w:szCs w:val="24"/>
        </w:rPr>
        <w:t xml:space="preserve">public access, </w:t>
      </w:r>
      <w:r>
        <w:rPr>
          <w:rFonts w:ascii="Times New Roman" w:hAnsi="Times New Roman" w:cs="Times New Roman"/>
          <w:sz w:val="24"/>
          <w:szCs w:val="24"/>
        </w:rPr>
        <w:t xml:space="preserve">politics, values, choice and public will, and land-use change.  The articles </w:t>
      </w:r>
      <w:r w:rsidR="00516D2F">
        <w:rPr>
          <w:rFonts w:ascii="Times New Roman" w:hAnsi="Times New Roman" w:cs="Times New Roman"/>
          <w:sz w:val="24"/>
          <w:szCs w:val="24"/>
        </w:rPr>
        <w:t xml:space="preserve">and background information </w:t>
      </w:r>
      <w:r>
        <w:rPr>
          <w:rFonts w:ascii="Times New Roman" w:hAnsi="Times New Roman" w:cs="Times New Roman"/>
          <w:sz w:val="24"/>
          <w:szCs w:val="24"/>
        </w:rPr>
        <w:t xml:space="preserve">on this subject do not propose to cover the opinions of all stakeholders </w:t>
      </w:r>
      <w:r w:rsidR="009C6A94">
        <w:rPr>
          <w:rFonts w:ascii="Times New Roman" w:hAnsi="Times New Roman" w:cs="Times New Roman"/>
          <w:sz w:val="24"/>
          <w:szCs w:val="24"/>
        </w:rPr>
        <w:t>and wider reading</w:t>
      </w:r>
      <w:r>
        <w:rPr>
          <w:rFonts w:ascii="Times New Roman" w:hAnsi="Times New Roman" w:cs="Times New Roman"/>
          <w:sz w:val="24"/>
          <w:szCs w:val="24"/>
        </w:rPr>
        <w:t xml:space="preserve"> is encouraged.</w:t>
      </w:r>
    </w:p>
    <w:p w:rsidR="007C58C8" w:rsidRDefault="007C58C8" w:rsidP="00A24E60">
      <w:pPr>
        <w:rPr>
          <w:rFonts w:ascii="Times New Roman" w:hAnsi="Times New Roman" w:cs="Times New Roman"/>
          <w:sz w:val="24"/>
          <w:szCs w:val="24"/>
        </w:rPr>
      </w:pPr>
      <w:r>
        <w:rPr>
          <w:rFonts w:ascii="Times New Roman" w:hAnsi="Times New Roman" w:cs="Times New Roman"/>
          <w:sz w:val="24"/>
          <w:szCs w:val="24"/>
        </w:rPr>
        <w:t>Land-use change creates employment opportunities that often require a collective or industry response in order to fully capture the economic benefits of change</w:t>
      </w:r>
      <w:r w:rsidR="00BD2AD9">
        <w:rPr>
          <w:rFonts w:ascii="Times New Roman" w:hAnsi="Times New Roman" w:cs="Times New Roman"/>
          <w:sz w:val="24"/>
          <w:szCs w:val="24"/>
        </w:rPr>
        <w:t>, intensification and/ or improved productivity</w:t>
      </w:r>
      <w:r>
        <w:rPr>
          <w:rFonts w:ascii="Times New Roman" w:hAnsi="Times New Roman" w:cs="Times New Roman"/>
          <w:sz w:val="24"/>
          <w:szCs w:val="24"/>
        </w:rPr>
        <w:t xml:space="preserve">.  The </w:t>
      </w:r>
      <w:r w:rsidR="00BD2AD9">
        <w:rPr>
          <w:rFonts w:ascii="Times New Roman" w:hAnsi="Times New Roman" w:cs="Times New Roman"/>
          <w:sz w:val="24"/>
          <w:szCs w:val="24"/>
        </w:rPr>
        <w:t>Recognised Seasonal Employer Policy was the government’s response to the increased demand for seasonal employees within the horticulture and viticulture industries.</w:t>
      </w:r>
    </w:p>
    <w:p w:rsidR="00BD2AD9" w:rsidRDefault="00BD2AD9" w:rsidP="00A24E60">
      <w:pPr>
        <w:rPr>
          <w:rFonts w:ascii="Times New Roman" w:hAnsi="Times New Roman" w:cs="Times New Roman"/>
          <w:sz w:val="24"/>
          <w:szCs w:val="24"/>
        </w:rPr>
      </w:pPr>
      <w:r>
        <w:rPr>
          <w:rFonts w:ascii="Times New Roman" w:hAnsi="Times New Roman" w:cs="Times New Roman"/>
          <w:sz w:val="24"/>
          <w:szCs w:val="24"/>
        </w:rPr>
        <w:t>Other articles demonstrate local authority responses to environmental concerns</w:t>
      </w:r>
      <w:r w:rsidR="009C6A94">
        <w:rPr>
          <w:rFonts w:ascii="Times New Roman" w:hAnsi="Times New Roman" w:cs="Times New Roman"/>
          <w:sz w:val="24"/>
          <w:szCs w:val="24"/>
        </w:rPr>
        <w:t xml:space="preserve"> regarding land-use change</w:t>
      </w:r>
      <w:r>
        <w:rPr>
          <w:rFonts w:ascii="Times New Roman" w:hAnsi="Times New Roman" w:cs="Times New Roman"/>
          <w:sz w:val="24"/>
          <w:szCs w:val="24"/>
        </w:rPr>
        <w:t xml:space="preserve">, industry responses regarding </w:t>
      </w:r>
      <w:r w:rsidR="009C6A94">
        <w:rPr>
          <w:rFonts w:ascii="Times New Roman" w:hAnsi="Times New Roman" w:cs="Times New Roman"/>
          <w:sz w:val="24"/>
          <w:szCs w:val="24"/>
        </w:rPr>
        <w:t xml:space="preserve">the </w:t>
      </w:r>
      <w:r>
        <w:rPr>
          <w:rFonts w:ascii="Times New Roman" w:hAnsi="Times New Roman" w:cs="Times New Roman"/>
          <w:sz w:val="24"/>
          <w:szCs w:val="24"/>
        </w:rPr>
        <w:t>environmental impact</w:t>
      </w:r>
      <w:r w:rsidR="009C6A94">
        <w:rPr>
          <w:rFonts w:ascii="Times New Roman" w:hAnsi="Times New Roman" w:cs="Times New Roman"/>
          <w:sz w:val="24"/>
          <w:szCs w:val="24"/>
        </w:rPr>
        <w:t xml:space="preserve"> of land use</w:t>
      </w:r>
      <w:r>
        <w:rPr>
          <w:rFonts w:ascii="Times New Roman" w:hAnsi="Times New Roman" w:cs="Times New Roman"/>
          <w:sz w:val="24"/>
          <w:szCs w:val="24"/>
        </w:rPr>
        <w:t xml:space="preserve">, opposing viewpoints on land-use change, trade-offs between economic and biodiversity </w:t>
      </w:r>
      <w:r>
        <w:rPr>
          <w:rFonts w:ascii="Times New Roman" w:hAnsi="Times New Roman" w:cs="Times New Roman"/>
          <w:sz w:val="24"/>
          <w:szCs w:val="24"/>
        </w:rPr>
        <w:lastRenderedPageBreak/>
        <w:t xml:space="preserve">outcomes, alternative land-uses that challenge the norm, </w:t>
      </w:r>
      <w:r w:rsidR="00177A19">
        <w:rPr>
          <w:rFonts w:ascii="Times New Roman" w:hAnsi="Times New Roman" w:cs="Times New Roman"/>
          <w:sz w:val="24"/>
          <w:szCs w:val="24"/>
        </w:rPr>
        <w:t>the profitability of farming versus forestry</w:t>
      </w:r>
      <w:r w:rsidR="009C6A94">
        <w:rPr>
          <w:rFonts w:ascii="Times New Roman" w:hAnsi="Times New Roman" w:cs="Times New Roman"/>
          <w:sz w:val="24"/>
          <w:szCs w:val="24"/>
        </w:rPr>
        <w:t xml:space="preserve"> as land uses</w:t>
      </w:r>
      <w:r w:rsidR="00177A19">
        <w:rPr>
          <w:rFonts w:ascii="Times New Roman" w:hAnsi="Times New Roman" w:cs="Times New Roman"/>
          <w:sz w:val="24"/>
          <w:szCs w:val="24"/>
        </w:rPr>
        <w:t xml:space="preserve">, </w:t>
      </w:r>
      <w:r>
        <w:rPr>
          <w:rFonts w:ascii="Times New Roman" w:hAnsi="Times New Roman" w:cs="Times New Roman"/>
          <w:sz w:val="24"/>
          <w:szCs w:val="24"/>
        </w:rPr>
        <w:t>and the improved environmental outcomes under the East Coast Forestry Project.</w:t>
      </w:r>
    </w:p>
    <w:p w:rsidR="00177A19" w:rsidRDefault="00177A19" w:rsidP="00A24E60">
      <w:pPr>
        <w:rPr>
          <w:rFonts w:ascii="Times New Roman" w:hAnsi="Times New Roman" w:cs="Times New Roman"/>
          <w:sz w:val="24"/>
          <w:szCs w:val="24"/>
        </w:rPr>
      </w:pPr>
      <w:r>
        <w:rPr>
          <w:rFonts w:ascii="Times New Roman" w:hAnsi="Times New Roman" w:cs="Times New Roman"/>
          <w:sz w:val="24"/>
          <w:szCs w:val="24"/>
        </w:rPr>
        <w:t>“NZ Meat Sector Domestic Trends” presented at the Red Meat Sector Conference 5 September 2011, provides statistical information on trends in land-use, pastoral land area, key-land use changes, economic influences, profitability and industry performance.</w:t>
      </w:r>
    </w:p>
    <w:p w:rsidR="00177A19" w:rsidRDefault="009C6A94" w:rsidP="00A24E60">
      <w:pPr>
        <w:rPr>
          <w:rFonts w:ascii="Times New Roman" w:hAnsi="Times New Roman" w:cs="Times New Roman"/>
          <w:sz w:val="24"/>
          <w:szCs w:val="24"/>
        </w:rPr>
      </w:pPr>
      <w:r>
        <w:rPr>
          <w:rFonts w:ascii="Times New Roman" w:hAnsi="Times New Roman" w:cs="Times New Roman"/>
          <w:sz w:val="24"/>
          <w:szCs w:val="24"/>
        </w:rPr>
        <w:t xml:space="preserve">The risk of </w:t>
      </w:r>
      <w:proofErr w:type="spellStart"/>
      <w:r>
        <w:rPr>
          <w:rFonts w:ascii="Times New Roman" w:hAnsi="Times New Roman" w:cs="Times New Roman"/>
          <w:sz w:val="24"/>
          <w:szCs w:val="24"/>
        </w:rPr>
        <w:t>Giardia</w:t>
      </w:r>
      <w:proofErr w:type="spellEnd"/>
      <w:r>
        <w:rPr>
          <w:rFonts w:ascii="Times New Roman" w:hAnsi="Times New Roman" w:cs="Times New Roman"/>
          <w:sz w:val="24"/>
          <w:szCs w:val="24"/>
        </w:rPr>
        <w:t xml:space="preserve"> as an emerging public health risk is considered by Cynthia </w:t>
      </w:r>
      <w:proofErr w:type="spellStart"/>
      <w:r>
        <w:rPr>
          <w:rFonts w:ascii="Times New Roman" w:hAnsi="Times New Roman" w:cs="Times New Roman"/>
          <w:sz w:val="24"/>
          <w:szCs w:val="24"/>
        </w:rPr>
        <w:t>Winkworth</w:t>
      </w:r>
      <w:proofErr w:type="spellEnd"/>
      <w:r>
        <w:rPr>
          <w:rFonts w:ascii="Times New Roman" w:hAnsi="Times New Roman" w:cs="Times New Roman"/>
          <w:sz w:val="24"/>
          <w:szCs w:val="24"/>
        </w:rPr>
        <w:t xml:space="preserve">.  The article calls for an accurate estimation of the risk posed to public health as a result of land-use conversion to dairying and intensification of existing operations.  There is an established link between </w:t>
      </w:r>
      <w:proofErr w:type="spellStart"/>
      <w:r>
        <w:rPr>
          <w:rFonts w:ascii="Times New Roman" w:hAnsi="Times New Roman" w:cs="Times New Roman"/>
          <w:sz w:val="24"/>
          <w:szCs w:val="24"/>
        </w:rPr>
        <w:t>Giardia</w:t>
      </w:r>
      <w:proofErr w:type="spellEnd"/>
      <w:r>
        <w:rPr>
          <w:rFonts w:ascii="Times New Roman" w:hAnsi="Times New Roman" w:cs="Times New Roman"/>
          <w:sz w:val="24"/>
          <w:szCs w:val="24"/>
        </w:rPr>
        <w:t xml:space="preserve"> strains in cattle and humans in the same geographic location and New Zealand has an extremely high rate of </w:t>
      </w:r>
      <w:proofErr w:type="spellStart"/>
      <w:r>
        <w:rPr>
          <w:rFonts w:ascii="Times New Roman" w:hAnsi="Times New Roman" w:cs="Times New Roman"/>
          <w:sz w:val="24"/>
          <w:szCs w:val="24"/>
        </w:rPr>
        <w:t>Giardia</w:t>
      </w:r>
      <w:proofErr w:type="spellEnd"/>
      <w:r>
        <w:rPr>
          <w:rFonts w:ascii="Times New Roman" w:hAnsi="Times New Roman" w:cs="Times New Roman"/>
          <w:sz w:val="24"/>
          <w:szCs w:val="24"/>
        </w:rPr>
        <w:t xml:space="preserve"> that is disparate from its socio-economic status.  </w:t>
      </w:r>
      <w:proofErr w:type="spellStart"/>
      <w:r>
        <w:rPr>
          <w:rFonts w:ascii="Times New Roman" w:hAnsi="Times New Roman" w:cs="Times New Roman"/>
          <w:sz w:val="24"/>
          <w:szCs w:val="24"/>
        </w:rPr>
        <w:t>Winkworth</w:t>
      </w:r>
      <w:proofErr w:type="spellEnd"/>
      <w:r>
        <w:rPr>
          <w:rFonts w:ascii="Times New Roman" w:hAnsi="Times New Roman" w:cs="Times New Roman"/>
          <w:sz w:val="24"/>
          <w:szCs w:val="24"/>
        </w:rPr>
        <w:t xml:space="preserve"> maintains that links between land-use activity and prevalence of the disease in humans</w:t>
      </w:r>
      <w:r w:rsidR="00516D2F">
        <w:rPr>
          <w:rFonts w:ascii="Times New Roman" w:hAnsi="Times New Roman" w:cs="Times New Roman"/>
          <w:sz w:val="24"/>
          <w:szCs w:val="24"/>
        </w:rPr>
        <w:t>,</w:t>
      </w:r>
      <w:r>
        <w:rPr>
          <w:rFonts w:ascii="Times New Roman" w:hAnsi="Times New Roman" w:cs="Times New Roman"/>
          <w:sz w:val="24"/>
          <w:szCs w:val="24"/>
        </w:rPr>
        <w:t xml:space="preserve"> warrants a framework to assess the public risk of waterborne pathogens.</w:t>
      </w:r>
    </w:p>
    <w:p w:rsidR="009C6A94" w:rsidRDefault="009C6A94" w:rsidP="00A24E60">
      <w:pPr>
        <w:rPr>
          <w:rFonts w:ascii="Times New Roman" w:hAnsi="Times New Roman" w:cs="Times New Roman"/>
          <w:sz w:val="24"/>
          <w:szCs w:val="24"/>
        </w:rPr>
      </w:pPr>
      <w:r>
        <w:rPr>
          <w:rFonts w:ascii="Times New Roman" w:hAnsi="Times New Roman" w:cs="Times New Roman"/>
          <w:sz w:val="24"/>
          <w:szCs w:val="24"/>
        </w:rPr>
        <w:t>Every human activity has an effect on the environment we live in.  Each land-use activity has an effect on the environment we live in.  Land use, changing land-use, changing land-cover, biodiversity, personal objectives, social values, economic viability, politics, global influences, landscapes, soils, climate, terrain, the finite nature of land, populations, food, demand.....Land Use.</w:t>
      </w:r>
    </w:p>
    <w:p w:rsidR="00A24E60" w:rsidRDefault="00A24E60" w:rsidP="00A24E60">
      <w:pPr>
        <w:rPr>
          <w:rFonts w:ascii="Times New Roman" w:hAnsi="Times New Roman" w:cs="Times New Roman"/>
          <w:sz w:val="24"/>
          <w:szCs w:val="24"/>
        </w:rPr>
      </w:pPr>
    </w:p>
    <w:p w:rsidR="00A24E60" w:rsidRPr="00A24E60" w:rsidRDefault="00A24E60" w:rsidP="00A24E60">
      <w:pPr>
        <w:rPr>
          <w:rFonts w:ascii="Times New Roman" w:hAnsi="Times New Roman" w:cs="Times New Roman"/>
          <w:sz w:val="24"/>
          <w:szCs w:val="24"/>
        </w:rPr>
      </w:pPr>
    </w:p>
    <w:sectPr w:rsidR="00A24E60" w:rsidRPr="00A24E60" w:rsidSect="00DF41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E60"/>
    <w:rsid w:val="0004509B"/>
    <w:rsid w:val="00177A19"/>
    <w:rsid w:val="00516D2F"/>
    <w:rsid w:val="007C58C8"/>
    <w:rsid w:val="008746A3"/>
    <w:rsid w:val="009C6A94"/>
    <w:rsid w:val="00A24E60"/>
    <w:rsid w:val="00BD2AD9"/>
    <w:rsid w:val="00D96AB0"/>
    <w:rsid w:val="00DF4113"/>
    <w:rsid w:val="00F7020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Crowder</dc:creator>
  <cp:lastModifiedBy>Katrina Crowder</cp:lastModifiedBy>
  <cp:revision>5</cp:revision>
  <dcterms:created xsi:type="dcterms:W3CDTF">2012-01-11T22:26:00Z</dcterms:created>
  <dcterms:modified xsi:type="dcterms:W3CDTF">2012-01-17T22:30:00Z</dcterms:modified>
</cp:coreProperties>
</file>